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90C5A" w:val="clear"/>
            <w:tcMar>
              <w:top w:type="dxa" w:w="600"/>
              <w:left w:type="dxa" w:w="600"/>
              <w:bottom w:type="dxa" w:w="120"/>
              <w:right w:type="dxa" w:w="600"/>
            </w:tcMar>
          </w:tcPr>
          <w:p>
            <w:pPr>
              <w:spacing w:before="120" w:after="60"/>
              <w:jc w:val="left"/>
            </w:pPr>
            <w:r>
              <w:rPr>
                <w:rFonts w:ascii="Montserrat" w:cs="Montserrat" w:eastAsia="Montserrat" w:hAnsi="Montserrat"/>
                <w:b/>
                <w:bCs/>
                <w:color w:val="FFB8D9"/>
                <w:spacing w:val="80"/>
                <w:sz w:val="22"/>
                <w:szCs w:val="22"/>
              </w:rPr>
              <w:t xml:space="preserve">i-LEAD SELF DEFENSE NPC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CC99BB"/>
                <w:sz w:val="17"/>
                <w:szCs w:val="17"/>
              </w:rPr>
              <w:t xml:space="preserve">NPO: 218-034  ·  Reg: 2017/507664/08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60"/>
              <w:left w:type="dxa" w:w="600"/>
              <w:bottom w:type="dxa" w:w="60"/>
              <w:right w:type="dxa" w:w="600"/>
            </w:tcMar>
          </w:tcPr>
          <w:p>
            <w:pPr>
              <w:spacing w:before="40" w:after="40"/>
            </w:pPr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0"/>
              <w:left w:type="dxa" w:w="600"/>
              <w:bottom w:type="dxa" w:w="0"/>
              <w:right w:type="dxa" w:w="600"/>
            </w:tcMar>
          </w:tcPr>
          <w:p>
            <w:pPr>
              <w:spacing w:before="300" w:after="0"/>
            </w:pPr>
            <w:r>
              <w:t xml:space="preserve"/>
            </w:r>
          </w:p>
          <w:p>
            <w:pPr>
              <w:spacing w:before="0" w:after="120"/>
              <w:jc w:val="left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96"/>
                <w:szCs w:val="96"/>
              </w:rPr>
              <w:t xml:space="preserve">PAIA</w:t>
            </w:r>
          </w:p>
          <w:p>
            <w:pPr>
              <w:spacing w:before="0" w:after="200"/>
              <w:jc w:val="left"/>
            </w:pPr>
            <w:r>
              <w:rPr>
                <w:rFonts w:ascii="Montserrat" w:cs="Montserrat" w:eastAsia="Montserrat" w:hAnsi="Montserrat"/>
                <w:b/>
                <w:bCs/>
                <w:color w:val="E0357D"/>
                <w:sz w:val="96"/>
                <w:szCs w:val="96"/>
              </w:rPr>
              <w:t xml:space="preserve">MANUAL</w:t>
            </w:r>
          </w:p>
          <w:p>
            <w:pPr>
              <w:spacing w:before="0" w:after="80"/>
              <w:jc w:val="left"/>
            </w:pPr>
            <w:r>
              <w:rPr>
                <w:rFonts w:ascii="Arial" w:cs="Arial" w:eastAsia="Arial" w:hAnsi="Arial"/>
                <w:i/>
                <w:iCs/>
                <w:color w:val="DDAACC"/>
                <w:sz w:val="22"/>
                <w:szCs w:val="22"/>
              </w:rPr>
              <w:t xml:space="preserve">Promotion of Access to Information Act, 2 of 2000</w:t>
            </w:r>
          </w:p>
          <w:p>
            <w:pPr>
              <w:spacing w:before="0" w:after="400"/>
              <w:jc w:val="left"/>
            </w:pPr>
            <w:r>
              <w:rPr>
                <w:rFonts w:ascii="Arial" w:cs="Arial" w:eastAsia="Arial" w:hAnsi="Arial"/>
                <w:i/>
                <w:iCs/>
                <w:color w:val="BB8899"/>
                <w:sz w:val="20"/>
                <w:szCs w:val="20"/>
              </w:rPr>
              <w:t xml:space="preserve">Act 2 of 2000  ·  Prepared in terms of Section 51</w:t>
            </w:r>
          </w:p>
          <w:p>
            <w:pPr>
              <w:spacing w:before="200" w:after="0"/>
            </w:pPr>
            <w:r>
              <w:t xml:space="preserve"/>
            </w:r>
          </w:p>
          <w:p>
            <w:pPr>
              <w:spacing w:before="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AAAAAA"/>
                <w:sz w:val="20"/>
                <w:szCs w:val="20"/>
              </w:rPr>
              <w:t xml:space="preserve">Date of Compilation:  </w:t>
            </w: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March 2026</w:t>
            </w:r>
          </w:p>
          <w:p>
            <w:pPr>
              <w:spacing w:before="0" w:after="500"/>
              <w:jc w:val="left"/>
            </w:pPr>
            <w:r>
              <w:rPr>
                <w:rFonts w:ascii="Arial" w:cs="Arial" w:eastAsia="Arial" w:hAnsi="Arial"/>
                <w:b/>
                <w:bCs/>
                <w:color w:val="AAAAAA"/>
                <w:sz w:val="20"/>
                <w:szCs w:val="20"/>
              </w:rPr>
              <w:t xml:space="preserve">Date of Revision:  </w:t>
            </w:r>
            <w:r>
              <w:rPr>
                <w:rFonts w:ascii="Arial" w:cs="Arial" w:eastAsia="Arial" w:hAnsi="Arial"/>
                <w:color w:val="FFFFFF"/>
                <w:sz w:val="20"/>
                <w:szCs w:val="20"/>
              </w:rPr>
              <w:t xml:space="preserve">March 2026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80"/>
              <w:left w:type="dxa" w:w="600"/>
              <w:bottom w:type="dxa" w:w="80"/>
              <w:right w:type="dxa" w:w="600"/>
            </w:tcMar>
          </w:tcPr>
          <w:p>
            <w:pPr>
              <w:spacing w:before="60" w:after="60"/>
              <w:jc w:val="right"/>
            </w:pPr>
            <w:r>
              <w:rPr>
                <w:rFonts w:ascii="Arial" w:cs="Arial" w:eastAsia="Arial" w:hAnsi="Arial"/>
                <w:i/>
                <w:iCs/>
                <w:color w:val="FFFFFF"/>
                <w:sz w:val="17"/>
                <w:szCs w:val="17"/>
              </w:rPr>
              <w:t xml:space="preserve">Empowering women and youth since 2012  ·  i-lead.org.za</w:t>
            </w:r>
          </w:p>
        </w:tc>
      </w:tr>
    </w:tbl>
    <w:p>
      <w:pPr>
        <w:spacing w:before="4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1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ACRONYMS AND ABBREVIATIONS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Acronym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Definition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CEO / Director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Chief Executive Officer / Director of the private body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DIO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Deputy Information Officer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IO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Information Officer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NPC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Non-Profit Company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NPO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Non-Profit Organisation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PAIA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Promotion of Access to Information Act 2 of 2000 (as amended)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POPIA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Protection of Personal Information Act 4 of 2013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Regulator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Information Regulator of South Africa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Republic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Republic of South Africa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SAPS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South African Police Service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GBV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Gender-Based Violence</w:t>
            </w:r>
          </w:p>
        </w:tc>
      </w:tr>
      <w:tr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API</w:t>
            </w:r>
          </w:p>
        </w:tc>
        <w:tc>
          <w:tcPr>
            <w:tcW w:type="pct" w:w="8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Application Programming Interface</w:t>
            </w:r>
          </w:p>
        </w:tc>
      </w:tr>
    </w:tbl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2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PURPOSE OF THIS PAIA MANUAL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2A2A2A"/>
          <w:sz w:val="20"/>
          <w:szCs w:val="20"/>
        </w:rPr>
        <w:t xml:space="preserve">This manual has been prepared by i-LEAD Self Defense NPC in accordance with Section 51 of the Promotion of Access to Information Act 2 of 2000 (PAIA). It is intended to assist members of the public to:</w:t>
      </w:r>
    </w:p>
    <w:p>
      <w:pPr>
        <w:spacing w:before="60" w:after="0"/>
      </w:pPr>
      <w:r>
        <w:t xml:space="preserve"/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Understand what categories of records are held by i-LEAD and which are available without a formal request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Know how to submit a formal request for access to records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Identify the Information Officer and Deputy Information Officer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Understand how i-LEAD processes personal information and the purpose of such processing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Know the security measures in place to protect personal information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Understand cross-border transfers of personal information</w:t>
      </w:r>
    </w:p>
    <w:p>
      <w:pPr>
        <w:spacing w:before="12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100"/>
      </w:tblGrid>
      <w:tr>
        <w:tc>
          <w:tcPr>
            <w:tcBorders>
              <w:top w:val="single" w:color="E0357D" w:sz="4"/>
              <w:left w:val="thick" w:color="E0357D" w:sz="20"/>
              <w:bottom w:val="single" w:color="E0357D" w:sz="4"/>
              <w:right w:val="none" w:color="FFFFFF" w:sz="0"/>
            </w:tcBorders>
            <w:shd w:fill="FDF0F7" w:val="clear"/>
            <w:tcMar>
              <w:top w:type="dxa" w:w="120"/>
              <w:left w:type="dxa" w:w="22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9"/>
                <w:szCs w:val="19"/>
              </w:rPr>
              <w:t xml:space="preserve">This manual serves as both a PAIA compliance document and a POPIA transparency statement. It is reviewed annually and updated whenever material changes occur to i-LEAD's operations or data processing activities.</w:t>
            </w:r>
          </w:p>
        </w:tc>
      </w:tr>
    </w:tbl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3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KEY CONTACT DETAILS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790C5A"/>
          <w:sz w:val="22"/>
          <w:szCs w:val="22"/>
        </w:rPr>
        <w:t xml:space="preserve">3.1  Information Officer</w:t>
      </w:r>
    </w:p>
    <w:p>
      <w:pPr>
        <w:spacing w:before="6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pct" w:w="78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Name</w:t>
            </w:r>
          </w:p>
        </w:tc>
        <w:tc>
          <w:tcPr>
            <w:tcW w:type="pct" w:w="7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Hemant Harie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Title</w:t>
            </w:r>
          </w:p>
        </w:tc>
        <w:tc>
          <w:tcPr>
            <w:tcW w:type="pct" w:w="7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Volunteer Information Officer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Email</w:t>
            </w:r>
          </w:p>
        </w:tc>
        <w:tc>
          <w:tcPr>
            <w:tcW w:type="pct" w:w="7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io@i-lead.org.za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790C5A"/>
          <w:sz w:val="22"/>
          <w:szCs w:val="22"/>
        </w:rPr>
        <w:t xml:space="preserve">3.2  Deputy Information Officer</w:t>
      </w:r>
    </w:p>
    <w:p>
      <w:pPr>
        <w:spacing w:before="6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pct" w:w="78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Name</w:t>
            </w:r>
          </w:p>
        </w:tc>
        <w:tc>
          <w:tcPr>
            <w:tcW w:type="pct" w:w="7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Risha Patak Harie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Title</w:t>
            </w:r>
          </w:p>
        </w:tc>
        <w:tc>
          <w:tcPr>
            <w:tcW w:type="pct" w:w="7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Founder &amp; Director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Email</w:t>
            </w:r>
          </w:p>
        </w:tc>
        <w:tc>
          <w:tcPr>
            <w:tcW w:type="pct" w:w="7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info@i-lead.org.za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WhatsApp</w:t>
            </w:r>
          </w:p>
        </w:tc>
        <w:tc>
          <w:tcPr>
            <w:tcW w:type="pct" w:w="7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+27 65 910 9403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790C5A"/>
          <w:sz w:val="22"/>
          <w:szCs w:val="22"/>
        </w:rPr>
        <w:t xml:space="preserve">3.3  General Contact &amp; Head Office</w:t>
      </w:r>
    </w:p>
    <w:p>
      <w:pPr>
        <w:spacing w:before="6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Organisation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i-LEAD Self Defense NPC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Registration No.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2017/507664/08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NPO Number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218-034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Operating City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Johannesburg, Gauteng, South Africa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General Email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info@i-lead.org.za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IO Email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io@i-lead.org.za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Website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www.i-lead.org.za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WhatsApp AI Advisor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+27 65 910 9403</w:t>
            </w:r>
          </w:p>
        </w:tc>
      </w:tr>
    </w:tbl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4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GUIDE ON HOW TO USE PAIA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2A2A2A"/>
          <w:sz w:val="20"/>
          <w:szCs w:val="20"/>
        </w:rPr>
        <w:t xml:space="preserve">The Information Regulator has made available a guide on how to use PAIA in terms of Section 10(1) of the Act. The guide is available in all official languages and in braille.</w:t>
      </w:r>
    </w:p>
    <w:p>
      <w:pPr>
        <w:spacing w:before="60" w:after="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2A2A2A"/>
          <w:sz w:val="20"/>
          <w:szCs w:val="20"/>
        </w:rPr>
        <w:t xml:space="preserve">The guide can be obtained: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From the Information Regulator's website: inforegulator.org.za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By contacting the Information Regulator at: inforeg@justice.gov.za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Upon request to i-LEAD's Information Officer at io@i-lead.org.za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At i-LEAD's registered address during normal business hours</w:t>
      </w:r>
    </w:p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5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RECORDS AVAILABLE WITHOUT A FORMAL REQUEST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2A2A2A"/>
          <w:sz w:val="20"/>
          <w:szCs w:val="20"/>
        </w:rPr>
        <w:t xml:space="preserve">The following categories of records are publicly available from i-LEAD without submitting a formal PAIA request:</w:t>
      </w:r>
    </w:p>
    <w:p>
      <w:pPr>
        <w:spacing w:before="8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8"/>
                <w:szCs w:val="18"/>
              </w:rPr>
              <w:t xml:space="preserve">Category of Record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8"/>
                <w:szCs w:val="18"/>
              </w:rPr>
              <w:t xml:space="preserve">Access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Website content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Public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Programme descriptions, about us, team, impact statistics — available at www.i-lead.org.za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Privacy Policy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Public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Full data processing disclosure — privacy.html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Cookie Policy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Public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Cookie usage disclosure — cookies.html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Terms &amp; Conditions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Public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Website and service terms — terms.html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PAIA Manual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Public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This document — paia.html and downloadable .docx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NPO Registration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On request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NPO certificate (218-034) — available upon written request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Section 18A status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On request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Tax exemption certificate details — available upon written request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Annual reports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On request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Narrative impact reports (where published)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Workshop schedules</w:t>
            </w:r>
          </w:p>
        </w:tc>
        <w:tc>
          <w:tcPr>
            <w:tcW w:type="pct" w:w="14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Public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Available on website and social media</w:t>
            </w:r>
          </w:p>
        </w:tc>
      </w:tr>
    </w:tbl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6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RECORDS AVAILABLE IN TERMS OF OTHER LEGISLATION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5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Record / Category</w:t>
            </w:r>
          </w:p>
        </w:tc>
        <w:tc>
          <w:tcPr>
            <w:tcW w:type="pct" w:w="55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Applicable Legislation</w:t>
            </w:r>
          </w:p>
        </w:tc>
      </w:tr>
      <w:tr>
        <w:tc>
          <w:tcPr>
            <w:tcW w:type="pct" w:w="4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Certificate of Incorporation / MOI</w:t>
            </w:r>
          </w:p>
        </w:tc>
        <w:tc>
          <w:tcPr>
            <w:tcW w:type="pct" w:w="5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Companies Act 71 of 2008</w:t>
            </w:r>
          </w:p>
        </w:tc>
      </w:tr>
      <w:tr>
        <w:tc>
          <w:tcPr>
            <w:tcW w:type="pct" w:w="4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NPO Registration Certificate</w:t>
            </w:r>
          </w:p>
        </w:tc>
        <w:tc>
          <w:tcPr>
            <w:tcW w:type="pct" w:w="5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Non-Profit Organisations Act 71 of 1997</w:t>
            </w:r>
          </w:p>
        </w:tc>
      </w:tr>
      <w:tr>
        <w:tc>
          <w:tcPr>
            <w:tcW w:type="pct" w:w="4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PAIA Manual</w:t>
            </w:r>
          </w:p>
        </w:tc>
        <w:tc>
          <w:tcPr>
            <w:tcW w:type="pct" w:w="5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Promotion of Access to Information Act 2 of 2000</w:t>
            </w:r>
          </w:p>
        </w:tc>
      </w:tr>
      <w:tr>
        <w:tc>
          <w:tcPr>
            <w:tcW w:type="pct" w:w="4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Privacy Policy / POPIA Compliance</w:t>
            </w:r>
          </w:p>
        </w:tc>
        <w:tc>
          <w:tcPr>
            <w:tcW w:type="pct" w:w="5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Protection of Personal Information Act 4 of 2013</w:t>
            </w:r>
          </w:p>
        </w:tc>
      </w:tr>
      <w:tr>
        <w:tc>
          <w:tcPr>
            <w:tcW w:type="pct" w:w="4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Section 18A Tax Exemption</w:t>
            </w:r>
          </w:p>
        </w:tc>
        <w:tc>
          <w:tcPr>
            <w:tcW w:type="pct" w:w="5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Income Tax Act 58 of 1962</w:t>
            </w:r>
          </w:p>
        </w:tc>
      </w:tr>
      <w:tr>
        <w:tc>
          <w:tcPr>
            <w:tcW w:type="pct" w:w="4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Employment records</w:t>
            </w:r>
          </w:p>
        </w:tc>
        <w:tc>
          <w:tcPr>
            <w:tcW w:type="pct" w:w="5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Basic Conditions of Employment Act 75 of 1997; Labour Relations Act 66 of 1995</w:t>
            </w:r>
          </w:p>
        </w:tc>
      </w:tr>
      <w:tr>
        <w:tc>
          <w:tcPr>
            <w:tcW w:type="pct" w:w="4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Donation receipts and financial records</w:t>
            </w:r>
          </w:p>
        </w:tc>
        <w:tc>
          <w:tcPr>
            <w:tcW w:type="pct" w:w="5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Income Tax Act; NPO Act</w:t>
            </w:r>
          </w:p>
        </w:tc>
      </w:tr>
    </w:tbl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7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SUBJECTS AND CATEGORIES OF RECORDS HELD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Subject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Categories of Records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Governance &amp; Legal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MOI, NPO registration, PAIA manual, policies, resolutions, registration documents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Finance &amp; Donations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Donation records, PayFast transaction logs, Section 18A certificates, financial statements, invoices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Programmes &amp; Workshops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Workshop registers, attendance records, facilitator notes, training materials, TTT programme records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Human Resources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Volunteer agreements, facilitator records, consultant contracts, background check consents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Communications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Email correspondence, social media content, press releases, marketing materials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Website &amp; Technology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Website files, hosting records, domain registration, AI advisor configuration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Personal Information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Contact form submissions, workshop registrations, donor details, WhatsApp session data (24hr auto-delete)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Legal Agreements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Shelter partnership agreements, corporate workshop contracts, sponsorship agreements</w:t>
            </w:r>
          </w:p>
        </w:tc>
      </w:tr>
      <w:tr>
        <w:tc>
          <w:tcPr>
            <w:tcW w:type="pct" w:w="2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Intellectual Property</w:t>
            </w:r>
          </w:p>
        </w:tc>
        <w:tc>
          <w:tcPr>
            <w:tcW w:type="pct" w:w="7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Programme curriculum, training materials, logo, brand assets</w:t>
            </w:r>
          </w:p>
        </w:tc>
      </w:tr>
    </w:tbl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8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PROCESSING OF PERSONAL INFORMATION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790C5A"/>
          <w:sz w:val="22"/>
          <w:szCs w:val="22"/>
        </w:rPr>
        <w:t xml:space="preserve">8.1  Purpose of Processing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Delivering violence prevention and self-defense training programmes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Communicating with workshop participants, donors, and partners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Processing donations and issuing tax certificates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Operating the AI Safety Advisor (website and WhatsApp)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Managing volunteer and facilitator relationships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Reporting to funders and fulfilling NPO obligations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Maintaining safety and security of programme participants</w:t>
      </w:r>
    </w:p>
    <w:p>
      <w:pPr>
        <w:spacing w:before="12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790C5A"/>
          <w:sz w:val="22"/>
          <w:szCs w:val="22"/>
        </w:rPr>
        <w:t xml:space="preserve">8.2  Categories of Data Subjects and Personal Information Processed</w:t>
      </w:r>
    </w:p>
    <w:p>
      <w:pPr>
        <w:spacing w:before="8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8"/>
                <w:szCs w:val="18"/>
              </w:rPr>
              <w:t xml:space="preserve">Data Subject</w:t>
            </w:r>
          </w:p>
        </w:tc>
        <w:tc>
          <w:tcPr>
            <w:tcW w:type="pct" w:w="25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  <w:tc>
          <w:tcPr>
            <w:tcW w:type="pct" w:w="53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8"/>
                <w:szCs w:val="18"/>
              </w:rPr>
              <w:t xml:space="preserve">Personal Information Processed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Workshop participants</w:t>
            </w:r>
          </w:p>
        </w:tc>
        <w:tc>
          <w:tcPr>
            <w:tcW w:type="pct" w:w="2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Programme delivery</w:t>
            </w:r>
          </w:p>
        </w:tc>
        <w:tc>
          <w:tcPr>
            <w:tcW w:type="pct" w:w="53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Name, contact number, email, attendance date, parental consent (minors)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Donors</w:t>
            </w:r>
          </w:p>
        </w:tc>
        <w:tc>
          <w:tcPr>
            <w:tcW w:type="pct" w:w="2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Donation processing, Section 18A</w:t>
            </w:r>
          </w:p>
        </w:tc>
        <w:tc>
          <w:tcPr>
            <w:tcW w:type="pct" w:w="53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Name, email, payment details (via PayFast), physical address (where provided)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Volunteers / Facilitators</w:t>
            </w:r>
          </w:p>
        </w:tc>
        <w:tc>
          <w:tcPr>
            <w:tcW w:type="pct" w:w="2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Operational management</w:t>
            </w:r>
          </w:p>
        </w:tc>
        <w:tc>
          <w:tcPr>
            <w:tcW w:type="pct" w:w="53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Name, ID number, contact details, qualifications, emergency contacts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Website visitors</w:t>
            </w:r>
          </w:p>
        </w:tc>
        <w:tc>
          <w:tcPr>
            <w:tcW w:type="pct" w:w="2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Communication &amp; security</w:t>
            </w:r>
          </w:p>
        </w:tc>
        <w:tc>
          <w:tcPr>
            <w:tcW w:type="pct" w:w="53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IP address (hosting logs), email and message (if contact form used)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AI Advisor users (website)</w:t>
            </w:r>
          </w:p>
        </w:tc>
        <w:tc>
          <w:tcPr>
            <w:tcW w:type="pct" w:w="2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AI response generation</w:t>
            </w:r>
          </w:p>
        </w:tc>
        <w:tc>
          <w:tcPr>
            <w:tcW w:type="pct" w:w="53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Message content during session only — browser memory, not stored by i-LEAD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AI Advisor users (WhatsApp)</w:t>
            </w:r>
          </w:p>
        </w:tc>
        <w:tc>
          <w:tcPr>
            <w:tcW w:type="pct" w:w="2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Conversation continuity; AI responses</w:t>
            </w:r>
          </w:p>
        </w:tc>
        <w:tc>
          <w:tcPr>
            <w:tcW w:type="pct" w:w="53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Hashed phone identifier + message content — stored max 24 hours then auto-deleted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Corporate / Institutional clients</w:t>
            </w:r>
          </w:p>
        </w:tc>
        <w:tc>
          <w:tcPr>
            <w:tcW w:type="pct" w:w="2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Service delivery &amp; invoicing</w:t>
            </w:r>
          </w:p>
        </w:tc>
        <w:tc>
          <w:tcPr>
            <w:tcW w:type="pct" w:w="53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Organisation name, contact person details, billing information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790C5A"/>
          <w:sz w:val="22"/>
          <w:szCs w:val="22"/>
        </w:rPr>
        <w:t xml:space="preserve">8.3  Recipients of Personal Information</w:t>
      </w:r>
    </w:p>
    <w:p>
      <w:pPr>
        <w:spacing w:before="8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Recipient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Nature of Information Shared</w:t>
            </w:r>
          </w:p>
        </w:tc>
      </w:tr>
      <w:tr>
        <w:tc>
          <w:tcPr>
            <w:tcW w:type="pct" w:w="4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Anthropic, Inc. (USA)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AI Advisor message content — for generating responses via Claude API</w:t>
            </w:r>
          </w:p>
        </w:tc>
      </w:tr>
      <w:tr>
        <w:tc>
          <w:tcPr>
            <w:tcW w:type="pct" w:w="4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Meta Platforms / WhatsApp (Ireland &amp; USA)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WhatsApp message metadata and content for message delivery</w:t>
            </w:r>
          </w:p>
        </w:tc>
      </w:tr>
      <w:tr>
        <w:tc>
          <w:tcPr>
            <w:tcW w:type="pct" w:w="4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PayFast (Pty) Ltd (South Africa)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Donor payment details for secure donation processing</w:t>
            </w:r>
          </w:p>
        </w:tc>
      </w:tr>
      <w:tr>
        <w:tc>
          <w:tcPr>
            <w:tcW w:type="pct" w:w="4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Google LLC (USA) — Google Fonts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IP address transmitted as part of CDN font requests (font delivery only)</w:t>
            </w:r>
          </w:p>
        </w:tc>
      </w:tr>
      <w:tr>
        <w:tc>
          <w:tcPr>
            <w:tcW w:type="pct" w:w="4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SAPS / Law Enforcement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Only where legally required or to protect safety — under legal obligation only</w:t>
            </w:r>
          </w:p>
        </w:tc>
      </w:tr>
      <w:tr>
        <w:tc>
          <w:tcPr>
            <w:tcW w:type="pct" w:w="4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Funders / Grantors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Anonymised programme impact data only — no personal information shared without consent</w:t>
            </w:r>
          </w:p>
        </w:tc>
      </w:tr>
      <w:tr>
        <w:tc>
          <w:tcPr>
            <w:tcW w:type="pct" w:w="4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Afrihost (South Africa)</w:t>
            </w:r>
          </w:p>
        </w:tc>
        <w:tc>
          <w:tcPr>
            <w:tcW w:type="pct" w:w="5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Website hosting provider — holds website files and temporary WhatsApp session data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790C5A"/>
          <w:sz w:val="22"/>
          <w:szCs w:val="22"/>
        </w:rPr>
        <w:t xml:space="preserve">8.4  Cross-Border Flows of Personal Information</w:t>
      </w:r>
    </w:p>
    <w:p>
      <w:pPr>
        <w:spacing w:before="8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100"/>
      </w:tblGrid>
      <w:tr>
        <w:tc>
          <w:tcPr>
            <w:tcBorders>
              <w:top w:val="single" w:color="E0357D" w:sz="4"/>
              <w:left w:val="thick" w:color="E0357D" w:sz="20"/>
              <w:bottom w:val="single" w:color="E0357D" w:sz="4"/>
              <w:right w:val="none" w:color="FFFFFF" w:sz="0"/>
            </w:tcBorders>
            <w:shd w:fill="FDF0F7" w:val="clear"/>
            <w:tcMar>
              <w:top w:type="dxa" w:w="120"/>
              <w:left w:type="dxa" w:w="22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i/>
                <w:iCs/>
                <w:color w:val="666666"/>
                <w:sz w:val="19"/>
                <w:szCs w:val="19"/>
              </w:rPr>
              <w:t xml:space="preserve">i-LEAD uses three third-party services that involve cross-border transfers of personal information outside South Africa. These are disclosed below in full compliance with Section 72 of POPIA.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8"/>
                <w:szCs w:val="18"/>
              </w:rPr>
              <w:t xml:space="preserve">Recipient</w:t>
            </w:r>
          </w:p>
        </w:tc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8"/>
                <w:szCs w:val="18"/>
              </w:rPr>
              <w:t xml:space="preserve">Country</w:t>
            </w:r>
          </w:p>
        </w:tc>
        <w:tc>
          <w:tcPr>
            <w:tcW w:type="pct" w:w="60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8"/>
                <w:szCs w:val="18"/>
              </w:rPr>
              <w:t xml:space="preserve">Nature of Transfer &amp; Safeguards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Anthropic, Inc.</w:t>
            </w:r>
          </w:p>
        </w:tc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United States</w:t>
            </w:r>
          </w:p>
        </w:tc>
        <w:tc>
          <w:tcPr>
            <w:tcW w:type="pct" w:w="60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AI Advisor message content (web + WhatsApp) for AI response generation. Anthropic maintains industry-standard data protection.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Meta Platforms / WhatsApp</w:t>
            </w:r>
          </w:p>
        </w:tc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Ireland &amp; United States</w:t>
            </w:r>
          </w:p>
        </w:tc>
        <w:tc>
          <w:tcPr>
            <w:tcW w:type="pct" w:w="60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WhatsApp message delivery infrastructure. Governed by Meta's Privacy Policy. i-LEAD does not control Meta's processing.</w:t>
            </w:r>
          </w:p>
        </w:tc>
      </w:tr>
      <w:tr>
        <w:tc>
          <w:tcPr>
            <w:tcW w:type="pct" w:w="22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Google LLC — Fonts</w:t>
            </w:r>
          </w:p>
        </w:tc>
        <w:tc>
          <w:tcPr>
            <w:tcW w:type="pct" w:w="18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United States</w:t>
            </w:r>
          </w:p>
        </w:tc>
        <w:tc>
          <w:tcPr>
            <w:tcW w:type="pct" w:w="60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A2A2A"/>
                <w:sz w:val="17"/>
                <w:szCs w:val="17"/>
              </w:rPr>
              <w:t xml:space="preserve">IP address transmitted as technical necessity of loading Google Fonts from CDN. No personal content involved.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790C5A"/>
          <w:sz w:val="22"/>
          <w:szCs w:val="22"/>
        </w:rPr>
        <w:t xml:space="preserve">8.5  Security Measures</w:t>
      </w:r>
    </w:p>
    <w:p>
      <w:pPr>
        <w:spacing w:before="80" w:after="0"/>
      </w:pPr>
      <w:r>
        <w:t xml:space="preserve"/>
      </w:r>
    </w:p>
    <w:tbl>
      <w:tblPr>
        <w:tblW w:type="pct" w:w="100%"/>
        <w:tblBorders>
          <w:top w:val="single" w:color="DDCCDD" w:sz="2"/>
          <w:left w:val="single" w:color="DDCCDD" w:sz="2"/>
          <w:bottom w:val="single" w:color="DDCCDD" w:sz="2"/>
          <w:right w:val="single" w:color="DDCCDD" w:sz="2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5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Security Measure</w:t>
            </w:r>
          </w:p>
        </w:tc>
        <w:tc>
          <w:tcPr>
            <w:tcW w:type="pct" w:w="65%"/>
            <w:tcBorders>
              <w:top w:val="single" w:color="DDCCDD" w:sz="2"/>
              <w:left w:val="single" w:color="DDCCDD" w:sz="2"/>
              <w:bottom w:val="single" w:color="DDCCDD" w:sz="2"/>
              <w:right w:val="single" w:color="AA2070" w:sz="2"/>
            </w:tcBorders>
            <w:shd w:fill="790C5A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z w:val="19"/>
                <w:szCs w:val="19"/>
              </w:rPr>
              <w:t xml:space="preserve">Description</w:t>
            </w:r>
          </w:p>
        </w:tc>
      </w:tr>
      <w:tr>
        <w:tc>
          <w:tcPr>
            <w:tcW w:type="pct" w:w="3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HTTPS / TLS encryption</w:t>
            </w:r>
          </w:p>
        </w:tc>
        <w:tc>
          <w:tcPr>
            <w:tcW w:type="pct" w:w="6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All website traffic encrypted via AutoSSL (Afrihost)</w:t>
            </w:r>
          </w:p>
        </w:tc>
      </w:tr>
      <w:tr>
        <w:tc>
          <w:tcPr>
            <w:tcW w:type="pct" w:w="3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WhatsApp session hashing</w:t>
            </w:r>
          </w:p>
        </w:tc>
        <w:tc>
          <w:tcPr>
            <w:tcW w:type="pct" w:w="6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Phone numbers stored as SHA-256 hashes — raw numbers never written to disk</w:t>
            </w:r>
          </w:p>
        </w:tc>
      </w:tr>
      <w:tr>
        <w:tc>
          <w:tcPr>
            <w:tcW w:type="pct" w:w="3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24-hour auto-deletion</w:t>
            </w:r>
          </w:p>
        </w:tc>
        <w:tc>
          <w:tcPr>
            <w:tcW w:type="pct" w:w="6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WhatsApp session data permanently auto-deleted after 24 hours of inactivity</w:t>
            </w:r>
          </w:p>
        </w:tc>
      </w:tr>
      <w:tr>
        <w:tc>
          <w:tcPr>
            <w:tcW w:type="pct" w:w="3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Directory protection</w:t>
            </w:r>
          </w:p>
        </w:tc>
        <w:tc>
          <w:tcPr>
            <w:tcW w:type="pct" w:w="6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Session folder blocked via .htaccess — inaccessible via web browser</w:t>
            </w:r>
          </w:p>
        </w:tc>
      </w:tr>
      <w:tr>
        <w:tc>
          <w:tcPr>
            <w:tcW w:type="pct" w:w="3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File permissions</w:t>
            </w:r>
          </w:p>
        </w:tc>
        <w:tc>
          <w:tcPr>
            <w:tcW w:type="pct" w:w="6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Session files set to 640 — PHP-writable only, not web-accessible</w:t>
            </w:r>
          </w:p>
        </w:tc>
      </w:tr>
      <w:tr>
        <w:tc>
          <w:tcPr>
            <w:tcW w:type="pct" w:w="3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Secure payment processing</w:t>
            </w:r>
          </w:p>
        </w:tc>
        <w:tc>
          <w:tcPr>
            <w:tcW w:type="pct" w:w="6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All donations via PayFast — i-LEAD never handles card data</w:t>
            </w:r>
          </w:p>
        </w:tc>
      </w:tr>
      <w:tr>
        <w:tc>
          <w:tcPr>
            <w:tcW w:type="pct" w:w="3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Data minimisation</w:t>
            </w:r>
          </w:p>
        </w:tc>
        <w:tc>
          <w:tcPr>
            <w:tcW w:type="pct" w:w="6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Only minimum necessary personal information is collected for each purpose</w:t>
            </w:r>
          </w:p>
        </w:tc>
      </w:tr>
      <w:tr>
        <w:tc>
          <w:tcPr>
            <w:tcW w:type="pct" w:w="3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No third-party analytics</w:t>
            </w:r>
          </w:p>
        </w:tc>
        <w:tc>
          <w:tcPr>
            <w:tcW w:type="pct" w:w="65%"/>
            <w:tcBorders>
              <w:top w:val="single" w:color="DDCCDD" w:sz="2"/>
              <w:left w:val="single" w:color="DDCCDD" w:sz="2"/>
              <w:bottom w:val="single" w:color="DDCCDD" w:sz="2"/>
              <w:right w:val="single" w:color="DDCCDD" w:sz="2"/>
            </w:tcBorders>
            <w:shd w:fill="FBF7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A2A2A"/>
                <w:sz w:val="18"/>
                <w:szCs w:val="18"/>
              </w:rPr>
              <w:t xml:space="preserve">i-LEAD does not use Google Analytics or behavioural tracking tools</w:t>
            </w:r>
          </w:p>
        </w:tc>
      </w:tr>
    </w:tbl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9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AVAILABILITY OF THIS MANUAL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On the i-LEAD website: www.i-lead.org.za/paia.html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As a downloadable document from the website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Upon request to the Information Officer at io@i-lead.org.za — free of charge in digital format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At i-LEAD's operating offices during normal business hours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To the Information Regulator upon request</w:t>
      </w:r>
    </w:p>
    <w:p>
      <w:pPr>
        <w:spacing w:before="100" w:after="0"/>
      </w:pPr>
      <w:r>
        <w:t xml:space="preserve"/>
      </w:r>
    </w:p>
    <w:p>
      <w:pPr>
        <w:spacing w:before="60" w:after="100"/>
      </w:pPr>
      <w:r>
        <w:rPr>
          <w:rFonts w:ascii="Arial" w:cs="Arial" w:eastAsia="Arial" w:hAnsi="Arial"/>
          <w:color w:val="2A2A2A"/>
          <w:sz w:val="20"/>
          <w:szCs w:val="20"/>
        </w:rPr>
        <w:t xml:space="preserve">A fee for a physical printed copy shall be payable as contemplated in Annexure B of the PAIA Regulations (per A4-size photocopy). Digital copies are provided free of charge.</w:t>
      </w:r>
    </w:p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200"/>
        </w:tblCellMar>
      </w:tblPr>
      <w:tblGrid>
        <w:gridCol w:w="100"/>
        <w:gridCol w:w="100"/>
      </w:tblGrid>
      <w:tr>
        <w:tc>
          <w:tcPr>
            <w:tcW w:type="pct" w:w="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120"/>
              <w:left w:type="dxa" w:w="160"/>
              <w:bottom w:type="dxa" w:w="12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color w:val="FFFFFF"/>
                <w:sz w:val="26"/>
                <w:szCs w:val="26"/>
              </w:rPr>
              <w:t xml:space="preserve">10</w:t>
            </w:r>
          </w:p>
        </w:tc>
        <w:tc>
          <w:tcPr>
            <w:tcW w:type="pct" w:w="9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220"/>
              <w:bottom w:type="dxa" w:w="120"/>
              <w:right w:type="dxa" w:w="160"/>
            </w:tcMar>
            <w:vAlign w:val="center"/>
          </w:tcPr>
          <w:p>
            <w:r>
              <w:rPr>
                <w:rFonts w:ascii="Montserrat" w:cs="Montserrat" w:eastAsia="Montserrat" w:hAnsi="Montserrat"/>
                <w:b/>
                <w:bCs/>
                <w:color w:val="FFFFFF"/>
                <w:spacing w:val="40"/>
                <w:sz w:val="24"/>
                <w:szCs w:val="24"/>
              </w:rPr>
              <w:t xml:space="preserve">UPDATING OF THIS MANUAL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Annually as a minimum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Whenever material changes occur to operations, data processing activities, or third-party service providers</w:t>
      </w:r>
    </w:p>
    <w:p>
      <w:pPr>
        <w:spacing w:before="40" w:after="50"/>
        <w:ind w:left="320" w:hanging="200"/>
      </w:pPr>
      <w:r>
        <w:rPr>
          <w:rFonts w:ascii="Arial" w:cs="Arial" w:eastAsia="Arial" w:hAnsi="Arial"/>
          <w:b/>
          <w:bCs/>
          <w:color w:val="E0357D"/>
          <w:sz w:val="20"/>
          <w:szCs w:val="20"/>
        </w:rPr>
        <w:t xml:space="preserve">▸  </w:t>
      </w:r>
      <w:r>
        <w:rPr>
          <w:rFonts w:ascii="Arial" w:cs="Arial" w:eastAsia="Arial" w:hAnsi="Arial"/>
          <w:color w:val="2A2A2A"/>
          <w:sz w:val="20"/>
          <w:szCs w:val="20"/>
        </w:rPr>
        <w:t xml:space="preserve">Whenever legislation affecting this manual is amended</w:t>
      </w:r>
    </w:p>
    <w:p>
      <w:pPr>
        <w:spacing w:before="4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4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357D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pct" w:w="96%"/>
            <w:tcBorders>
              <w:top w:val="single" w:color="E0357D" w:sz="4"/>
              <w:left w:val="none" w:color="FFFFFF" w:sz="0"/>
              <w:bottom w:val="single" w:color="E0357D" w:sz="4"/>
              <w:right w:val="single" w:color="E0357D" w:sz="4"/>
            </w:tcBorders>
            <w:shd w:fill="FDF0F7" w:val="clear"/>
            <w:tcMar>
              <w:top w:type="dxa" w:w="200"/>
              <w:left w:type="dxa" w:w="300"/>
              <w:bottom w:type="dxa" w:w="260"/>
              <w:right w:type="dxa" w:w="3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Signed by:</w:t>
            </w:r>
          </w:p>
          <w:p>
            <w:pPr>
              <w:spacing w:after="80"/>
            </w:pPr>
            <w:r>
              <w:rPr>
                <w:rFonts w:ascii="Montserrat" w:cs="Montserrat" w:eastAsia="Montserrat" w:hAnsi="Montserrat"/>
                <w:b/>
                <w:bCs/>
                <w:color w:val="790C5A"/>
                <w:sz w:val="28"/>
                <w:szCs w:val="28"/>
              </w:rPr>
              <w:t xml:space="preserve">Hemant Harie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Volunteer Information Officer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i-LEAD Self Defense NPC</w:t>
            </w:r>
          </w:p>
          <w:p>
            <w:pPr>
              <w:spacing w:after="240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Date: March 2026</w:t>
            </w:r>
          </w:p>
          <w:p>
            <w:pPr>
              <w:pBdr>
                <w:top w:val="single" w:color="DDAACC" w:sz="2" w:space="4"/>
              </w:pBdr>
              <w:spacing w:before="240" w:after="60"/>
            </w:pPr>
            <w:r>
              <w:rPr>
                <w:rFonts w:ascii="Arial" w:cs="Arial" w:eastAsia="Arial" w:hAnsi="Arial"/>
                <w:i/>
                <w:iCs/>
                <w:color w:val="BBAACC"/>
                <w:sz w:val="19"/>
                <w:szCs w:val="19"/>
              </w:rPr>
              <w:t xml:space="preserve">Signature:  ___________________________________________</w:t>
            </w:r>
          </w:p>
        </w:tc>
      </w:tr>
    </w:tbl>
    <w:p>
      <w:pPr>
        <w:spacing w:before="300" w:after="0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53A47" w:val="clear"/>
            <w:tcMar>
              <w:top w:type="dxa" w:w="120"/>
              <w:left w:type="dxa" w:w="600"/>
              <w:bottom w:type="dxa" w:w="120"/>
              <w:right w:type="dxa" w:w="600"/>
            </w:tcMar>
          </w:tcPr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i-LEAD Self Defense NPC  ·  NPO: 218-034  ·  Reg: 2017/507664/08  ·  www.i-lead.org.za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i/>
                <w:iCs/>
                <w:color w:val="DDAACC"/>
                <w:sz w:val="15"/>
                <w:szCs w:val="15"/>
              </w:rPr>
              <w:t xml:space="preserve">info@i-lead.org.za  ·  Prepared with HART Solutions  ·  March 2026</w:t>
            </w:r>
          </w:p>
        </w:tc>
      </w:tr>
    </w:tbl>
    <w:sectPr>
      <w:pgSz w:w="11906" w:h="16838" w:orient="portrait"/>
      <w:pgMar w:top="0" w:right="960" w:bottom="9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2026-03-09T20:09:22.863Z</dcterms:created>
  <dcterms:modified xsi:type="dcterms:W3CDTF">2026-03-09T20:09:22.863Z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